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3A" w:rsidRPr="00B82BED" w:rsidRDefault="00590F3A" w:rsidP="00590F3A">
      <w:pPr>
        <w:pStyle w:val="Akapitzlist11"/>
        <w:tabs>
          <w:tab w:val="left" w:pos="540"/>
        </w:tabs>
        <w:spacing w:after="120" w:line="240" w:lineRule="auto"/>
        <w:ind w:left="0"/>
        <w:contextualSpacing w:val="0"/>
        <w:outlineLvl w:val="1"/>
        <w:rPr>
          <w:rFonts w:ascii="Cambria" w:hAnsi="Cambria"/>
          <w:sz w:val="24"/>
          <w:szCs w:val="24"/>
        </w:rPr>
      </w:pPr>
      <w:bookmarkStart w:id="0" w:name="_Toc415124200"/>
      <w:r w:rsidRPr="00B82BED">
        <w:rPr>
          <w:rFonts w:ascii="Cambria" w:hAnsi="Cambria"/>
          <w:sz w:val="24"/>
          <w:szCs w:val="24"/>
        </w:rPr>
        <w:t>Se.271.3.2020</w:t>
      </w:r>
    </w:p>
    <w:p w:rsidR="00590F3A" w:rsidRPr="00F82784" w:rsidRDefault="00590F3A" w:rsidP="00590F3A">
      <w:pPr>
        <w:pStyle w:val="Akapitzlist11"/>
        <w:tabs>
          <w:tab w:val="left" w:pos="540"/>
        </w:tabs>
        <w:spacing w:after="120" w:line="240" w:lineRule="auto"/>
        <w:ind w:left="0"/>
        <w:contextualSpacing w:val="0"/>
        <w:jc w:val="right"/>
        <w:outlineLvl w:val="1"/>
        <w:rPr>
          <w:rFonts w:ascii="Cambria" w:hAnsi="Cambria"/>
          <w:b/>
          <w:sz w:val="24"/>
          <w:szCs w:val="24"/>
          <w:u w:val="single"/>
        </w:rPr>
      </w:pPr>
      <w:r w:rsidRPr="00F82784">
        <w:rPr>
          <w:rFonts w:ascii="Cambria" w:hAnsi="Cambria"/>
          <w:b/>
          <w:sz w:val="24"/>
          <w:szCs w:val="24"/>
          <w:u w:val="single"/>
        </w:rPr>
        <w:t>Załącznik nr 1c do SIWZ</w:t>
      </w:r>
    </w:p>
    <w:p w:rsidR="00590F3A" w:rsidRDefault="00590F3A" w:rsidP="00590F3A">
      <w:pPr>
        <w:pStyle w:val="Akapitzlist11"/>
        <w:tabs>
          <w:tab w:val="left" w:pos="540"/>
        </w:tabs>
        <w:spacing w:after="120" w:line="240" w:lineRule="auto"/>
        <w:ind w:left="0"/>
        <w:contextualSpacing w:val="0"/>
        <w:jc w:val="both"/>
        <w:outlineLvl w:val="1"/>
        <w:rPr>
          <w:rFonts w:ascii="Cambria" w:hAnsi="Cambria"/>
          <w:b/>
        </w:rPr>
      </w:pPr>
      <w:r w:rsidRPr="00F82784">
        <w:rPr>
          <w:rFonts w:ascii="Cambria" w:hAnsi="Cambria"/>
          <w:b/>
        </w:rPr>
        <w:t xml:space="preserve">Szczegółowy opis przedmiotu zamówienia zawierający warunki obligatoryjne oraz klauzule dodatkowe i inne postanowienia szczególne fakultatywne dla ubezpieczenia następstw </w:t>
      </w:r>
      <w:r w:rsidRPr="00567511">
        <w:rPr>
          <w:rFonts w:ascii="Cambria" w:hAnsi="Cambria"/>
          <w:b/>
        </w:rPr>
        <w:t xml:space="preserve">nieszczęśliwych wypadków członków Ochotniczych Straży Pożarnych i Młodzieżowych Drużyn Pożarniczych Gminy Czarna Białostocka - </w:t>
      </w:r>
      <w:r>
        <w:rPr>
          <w:rFonts w:ascii="Cambria" w:hAnsi="Cambria"/>
          <w:b/>
        </w:rPr>
        <w:t xml:space="preserve"> </w:t>
      </w:r>
      <w:r w:rsidRPr="00567511">
        <w:rPr>
          <w:rFonts w:ascii="Cambria" w:hAnsi="Cambria"/>
          <w:b/>
        </w:rPr>
        <w:t>dotyczący cz</w:t>
      </w:r>
      <w:r w:rsidRPr="00F82784">
        <w:rPr>
          <w:rFonts w:ascii="Cambria" w:hAnsi="Cambria"/>
          <w:b/>
        </w:rPr>
        <w:t>ęści III zamówienia.</w:t>
      </w:r>
      <w:bookmarkEnd w:id="0"/>
    </w:p>
    <w:p w:rsidR="00590F3A" w:rsidRPr="00F82784" w:rsidRDefault="00590F3A" w:rsidP="00590F3A">
      <w:pPr>
        <w:pStyle w:val="Akapitzlist11"/>
        <w:tabs>
          <w:tab w:val="left" w:pos="540"/>
        </w:tabs>
        <w:spacing w:after="120" w:line="240" w:lineRule="auto"/>
        <w:ind w:left="0"/>
        <w:contextualSpacing w:val="0"/>
        <w:jc w:val="both"/>
        <w:outlineLvl w:val="1"/>
        <w:rPr>
          <w:rFonts w:ascii="Cambria" w:hAnsi="Cambria"/>
          <w:b/>
        </w:rPr>
      </w:pPr>
    </w:p>
    <w:p w:rsidR="00590F3A" w:rsidRPr="00F82784" w:rsidRDefault="00590F3A" w:rsidP="00590F3A">
      <w:pPr>
        <w:widowControl w:val="0"/>
        <w:numPr>
          <w:ilvl w:val="1"/>
          <w:numId w:val="2"/>
        </w:numPr>
        <w:tabs>
          <w:tab w:val="left" w:pos="709"/>
        </w:tabs>
        <w:suppressAutoHyphens/>
        <w:spacing w:before="180" w:after="6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F82784">
        <w:rPr>
          <w:rFonts w:ascii="Cambria" w:hAnsi="Cambria" w:cs="Arial"/>
          <w:b/>
          <w:bCs/>
          <w:spacing w:val="-4"/>
          <w:lang w:eastAsia="pl-PL"/>
        </w:rPr>
        <w:t>Ubezpieczenie imienne następstw nieszczęśliwych wypadków członków Ochotniczych Straży Pożarnych w nawiązaniu do art. 26 i 26a ustawy z dnia 24 sierpnia 1991 r. o ochronie przeciwpożarowej</w:t>
      </w:r>
    </w:p>
    <w:p w:rsidR="00590F3A" w:rsidRPr="00F82784" w:rsidRDefault="00590F3A" w:rsidP="00590F3A">
      <w:pPr>
        <w:widowControl w:val="0"/>
        <w:numPr>
          <w:ilvl w:val="3"/>
          <w:numId w:val="3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F82784">
        <w:rPr>
          <w:rFonts w:ascii="Cambria" w:hAnsi="Cambria" w:cs="Arial"/>
          <w:b/>
          <w:bCs/>
          <w:spacing w:val="-4"/>
          <w:lang w:eastAsia="pl-PL"/>
        </w:rPr>
        <w:t>Przedmiot ubezpieczenia</w:t>
      </w:r>
    </w:p>
    <w:p w:rsidR="00590F3A" w:rsidRPr="006606D7" w:rsidRDefault="00590F3A" w:rsidP="00590F3A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F82784">
        <w:rPr>
          <w:rFonts w:ascii="Cambria" w:hAnsi="Cambria" w:cs="Arial"/>
          <w:spacing w:val="-4"/>
          <w:lang w:eastAsia="pl-PL"/>
        </w:rPr>
        <w:t xml:space="preserve">Przedmiotem ubezpieczenia jest imienne ubezpieczenie następstw nieszczęśliwych wypadków członków Ochotniczych Straży Pożarnych Gminy </w:t>
      </w:r>
      <w:r>
        <w:rPr>
          <w:rFonts w:ascii="Cambria" w:hAnsi="Cambria" w:cs="Arial"/>
          <w:spacing w:val="-4"/>
          <w:lang w:eastAsia="pl-PL"/>
        </w:rPr>
        <w:t>Czarna Białostocka</w:t>
      </w:r>
      <w:r w:rsidRPr="00F82784">
        <w:rPr>
          <w:rFonts w:ascii="Cambria" w:hAnsi="Cambria" w:cs="Arial"/>
          <w:spacing w:val="-4"/>
          <w:lang w:eastAsia="pl-PL"/>
        </w:rPr>
        <w:t xml:space="preserve">, obejmujące śmierć ubezpieczonego bądź stały lub długotrwały uszczerbek na zdrowiu ubezpieczonego. Ubezpieczenie winno spełniać postanowienia art. 26 i </w:t>
      </w:r>
      <w:r w:rsidRPr="006606D7">
        <w:rPr>
          <w:rFonts w:ascii="Cambria" w:hAnsi="Cambria" w:cs="Arial"/>
          <w:spacing w:val="-4"/>
          <w:lang w:eastAsia="pl-PL"/>
        </w:rPr>
        <w:t>26a ustawy z dnia 24 sierpnia 1991 r. o ochronie przeciwpożarowej.</w:t>
      </w:r>
    </w:p>
    <w:p w:rsidR="00590F3A" w:rsidRPr="006606D7" w:rsidRDefault="00590F3A" w:rsidP="00590F3A">
      <w:pPr>
        <w:widowControl w:val="0"/>
        <w:numPr>
          <w:ilvl w:val="3"/>
          <w:numId w:val="3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b/>
          <w:bCs/>
          <w:spacing w:val="-4"/>
          <w:lang w:eastAsia="pl-PL"/>
        </w:rPr>
        <w:t>Zakres ubezpieczenia</w:t>
      </w:r>
    </w:p>
    <w:p w:rsidR="00590F3A" w:rsidRPr="006606D7" w:rsidRDefault="00590F3A" w:rsidP="00590F3A">
      <w:pPr>
        <w:widowControl w:val="0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 xml:space="preserve">Jednorazowe odszkodowanie z tytułu śmierci ubezpieczonego w wyniku nieszczęśliwego wypadku w czasie akcji (za akcję – oprócz działań ratowniczych - uważa się również zabezpieczenie imprez </w:t>
      </w:r>
      <w:r w:rsidRPr="006606D7">
        <w:rPr>
          <w:rFonts w:ascii="Cambria" w:hAnsi="Cambria" w:cs="Arial"/>
          <w:spacing w:val="-4"/>
          <w:lang w:eastAsia="pl-PL"/>
        </w:rPr>
        <w:br/>
        <w:t xml:space="preserve">i zawodów sportowych, biegów ulicznych, uroczystości państwowych, samorządowych, publicznych i kościelnych), ćwiczeń, zawodów, udziału w pokazach ratownictwa technicznego oraz ratownictwa medycznego, udziału w szkoleniach, udziału w zlotach samochodów pożarniczych, udziału w zawodach pożarniczych i spotkaniach w jednostkach partnerskich  organizowanych na terenie Europy (itp.), realizacji zadań statutowych lub innych na pisemne lub ustne polecenie, pobytu na terenie remizy oraz w drodze do wymienionych miejsc i w drodze powrotnej z tych miejsc. </w:t>
      </w:r>
    </w:p>
    <w:p w:rsidR="00590F3A" w:rsidRPr="00A25603" w:rsidRDefault="00590F3A" w:rsidP="00590F3A">
      <w:pPr>
        <w:spacing w:after="0" w:line="240" w:lineRule="auto"/>
        <w:ind w:left="709"/>
        <w:jc w:val="both"/>
        <w:rPr>
          <w:rFonts w:ascii="Cambria" w:hAnsi="Cambria"/>
        </w:rPr>
      </w:pPr>
      <w:r w:rsidRPr="00A25603">
        <w:rPr>
          <w:rFonts w:ascii="Cambria" w:hAnsi="Cambria"/>
        </w:rPr>
        <w:t>Z zakresu ubezpieczenia nie mogą być wyłączone szkody:</w:t>
      </w:r>
    </w:p>
    <w:p w:rsidR="00590F3A" w:rsidRPr="00A25603" w:rsidRDefault="00590F3A" w:rsidP="00590F3A">
      <w:pPr>
        <w:pStyle w:val="Akapitzlist"/>
        <w:numPr>
          <w:ilvl w:val="0"/>
          <w:numId w:val="10"/>
        </w:numPr>
        <w:spacing w:after="0" w:line="240" w:lineRule="auto"/>
        <w:ind w:left="993" w:hanging="284"/>
        <w:contextualSpacing w:val="0"/>
        <w:jc w:val="both"/>
        <w:rPr>
          <w:rFonts w:ascii="Cambria" w:eastAsia="Times New Roman" w:hAnsi="Cambria"/>
        </w:rPr>
      </w:pPr>
      <w:r w:rsidRPr="00A25603">
        <w:rPr>
          <w:rFonts w:ascii="Cambria" w:eastAsia="Times New Roman" w:hAnsi="Cambria"/>
        </w:rPr>
        <w:t>powstałe w następstwie zatrucia substancjami stałymi, gazowymi albo płynami, które wniknęły do organizmu drogą oddechową, pokarmową albo przez skórę (w tym tlenek węgla)</w:t>
      </w:r>
    </w:p>
    <w:p w:rsidR="00590F3A" w:rsidRPr="006606D7" w:rsidRDefault="00590F3A" w:rsidP="00590F3A">
      <w:pPr>
        <w:widowControl w:val="0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2"/>
          <w:lang w:eastAsia="pl-PL"/>
        </w:rPr>
      </w:pPr>
      <w:r w:rsidRPr="006606D7">
        <w:rPr>
          <w:rFonts w:ascii="Cambria" w:hAnsi="Cambria" w:cs="Arial"/>
          <w:spacing w:val="-2"/>
          <w:lang w:eastAsia="pl-PL"/>
        </w:rPr>
        <w:t xml:space="preserve">Jednorazowe odszkodowanie w razie doznania stałego lub długotrwałego uszczerbku </w:t>
      </w:r>
      <w:r w:rsidRPr="006606D7">
        <w:rPr>
          <w:rFonts w:ascii="Cambria" w:hAnsi="Cambria" w:cs="Arial"/>
          <w:spacing w:val="-2"/>
          <w:lang w:eastAsia="pl-PL"/>
        </w:rPr>
        <w:br/>
        <w:t xml:space="preserve">na zdrowiu ubezpieczonego, będącego następstwem nieszczęśliwego wypadku w czasie akcji </w:t>
      </w:r>
      <w:r w:rsidRPr="006606D7">
        <w:rPr>
          <w:rFonts w:ascii="Cambria" w:hAnsi="Cambria" w:cs="Arial"/>
          <w:spacing w:val="-2"/>
          <w:lang w:eastAsia="pl-PL"/>
        </w:rPr>
        <w:br/>
        <w:t xml:space="preserve">(za akcję – oprócz działań ratowniczych - uważa się również zabezpieczenie imprez i zawodów sportowych, biegów ulicznych, uroczystości państwowych, samorządowych, publicznych </w:t>
      </w:r>
      <w:r w:rsidRPr="006606D7">
        <w:rPr>
          <w:rFonts w:ascii="Cambria" w:hAnsi="Cambria" w:cs="Arial"/>
          <w:spacing w:val="-2"/>
          <w:lang w:eastAsia="pl-PL"/>
        </w:rPr>
        <w:br/>
        <w:t xml:space="preserve">i kościelnych), ćwiczeń, zawodów, udziału w pokazach ratownictwa technicznego oraz ratownictwa medycznego, szkolenia, udziału w zlotach samochodów pożarniczych, udziału </w:t>
      </w:r>
      <w:r w:rsidRPr="006606D7">
        <w:rPr>
          <w:rFonts w:ascii="Cambria" w:hAnsi="Cambria" w:cs="Arial"/>
          <w:spacing w:val="-2"/>
          <w:lang w:eastAsia="pl-PL"/>
        </w:rPr>
        <w:br/>
        <w:t xml:space="preserve">w zawodach pożarniczych i spotkaniach w jednostkach partnerskich  organizowanych na terenie Europy (itp.), realizacji zadań statutowych lub innych na pisemne lub ustne polecenie, pobytu </w:t>
      </w:r>
      <w:r w:rsidRPr="006606D7">
        <w:rPr>
          <w:rFonts w:ascii="Cambria" w:hAnsi="Cambria" w:cs="Arial"/>
          <w:spacing w:val="-2"/>
          <w:lang w:eastAsia="pl-PL"/>
        </w:rPr>
        <w:br/>
        <w:t>na terenie remizy oraz w drodze do wymienionych miejsc i w drodze powrotnej z tych miejsc.</w:t>
      </w:r>
    </w:p>
    <w:p w:rsidR="00590F3A" w:rsidRPr="006606D7" w:rsidRDefault="00590F3A" w:rsidP="00590F3A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</w:rPr>
      </w:pPr>
      <w:r w:rsidRPr="006606D7">
        <w:rPr>
          <w:rFonts w:ascii="Cambria" w:hAnsi="Cambria" w:cs="Arial"/>
          <w:b/>
          <w:bCs/>
          <w:spacing w:val="-4"/>
        </w:rPr>
        <w:t xml:space="preserve">Zasady ustalania wysokości świadczeń 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</w:rPr>
      </w:pPr>
      <w:r w:rsidRPr="006606D7">
        <w:rPr>
          <w:rFonts w:ascii="Cambria" w:hAnsi="Cambria" w:cs="Arial"/>
          <w:spacing w:val="-4"/>
        </w:rPr>
        <w:t xml:space="preserve">Jednorazowe odszkodowania, o których mowa powyżej przysługują na zasadach określonych </w:t>
      </w:r>
      <w:r w:rsidRPr="006606D7">
        <w:rPr>
          <w:rFonts w:ascii="Cambria" w:hAnsi="Cambria" w:cs="Arial"/>
          <w:spacing w:val="-4"/>
        </w:rPr>
        <w:br/>
        <w:t>dla strażaków Państwowej Straży Pożarnej w wysokości kwot ustalanych na podstawie przepisów o ubezpieczeniu społecznym z tytułu wypadków przy pracy i chorób zawodowych.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</w:rPr>
      </w:pPr>
      <w:r w:rsidRPr="006606D7">
        <w:rPr>
          <w:rFonts w:ascii="Cambria" w:hAnsi="Cambria" w:cs="Arial"/>
          <w:spacing w:val="-4"/>
        </w:rPr>
        <w:t>Ustalanie należnych świadczeń odszkodowawczych, w tym wysokości uszczerbku na zdrowiu, pozostających w związku z zakresem niniejszego ubezpieczenia następuje na zasadach, w trybie i wysokości określonych w oparciu o przepisy:</w:t>
      </w:r>
    </w:p>
    <w:p w:rsidR="00590F3A" w:rsidRPr="006606D7" w:rsidRDefault="00590F3A" w:rsidP="00590F3A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</w:rPr>
      </w:pPr>
      <w:r w:rsidRPr="006606D7">
        <w:rPr>
          <w:rFonts w:ascii="Cambria" w:hAnsi="Cambria" w:cs="Arial"/>
          <w:spacing w:val="-4"/>
        </w:rPr>
        <w:lastRenderedPageBreak/>
        <w:t>ustawy z dnia 24 sierpnia 1991 r. o ochronie przeciwpożarowej</w:t>
      </w:r>
    </w:p>
    <w:p w:rsidR="00590F3A" w:rsidRPr="006606D7" w:rsidRDefault="00590F3A" w:rsidP="00590F3A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</w:rPr>
      </w:pPr>
      <w:r w:rsidRPr="006606D7">
        <w:rPr>
          <w:rFonts w:ascii="Cambria" w:hAnsi="Cambria" w:cs="Arial"/>
          <w:spacing w:val="-4"/>
        </w:rPr>
        <w:t>ustawy z dnia 30 października 2002 r. o ubezpieczeniu społecznym z tytułu wypadków przy pracy i chorób zawodowych </w:t>
      </w:r>
    </w:p>
    <w:p w:rsidR="00590F3A" w:rsidRPr="006606D7" w:rsidRDefault="00590F3A" w:rsidP="00590F3A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6"/>
        </w:rPr>
      </w:pPr>
      <w:r w:rsidRPr="006606D7">
        <w:rPr>
          <w:rFonts w:ascii="Cambria" w:hAnsi="Cambria" w:cs="Arial"/>
          <w:spacing w:val="-6"/>
        </w:rPr>
        <w:t xml:space="preserve">rozporządzenia ministra spraw wewnętrznych i administracji z dnia 24 grudnia 2003 r. </w:t>
      </w:r>
      <w:r w:rsidRPr="006606D7">
        <w:rPr>
          <w:rFonts w:ascii="Cambria" w:hAnsi="Cambria" w:cs="Arial"/>
          <w:spacing w:val="-6"/>
        </w:rPr>
        <w:br/>
        <w:t>w sprawie przyznawania świadczeń odszkodowawczych strażakom jednostek ochrony przeciw</w:t>
      </w:r>
      <w:r w:rsidRPr="006606D7">
        <w:rPr>
          <w:rFonts w:ascii="Cambria" w:hAnsi="Cambria" w:cs="Arial"/>
          <w:spacing w:val="-6"/>
        </w:rPr>
        <w:softHyphen/>
        <w:t xml:space="preserve">pożarowej i członkom ochotniczej straży pożarnej z tytułu uszczerbku na zdrowiu albo szkody </w:t>
      </w:r>
      <w:r w:rsidRPr="006606D7">
        <w:rPr>
          <w:rFonts w:ascii="Cambria" w:hAnsi="Cambria" w:cs="Arial"/>
          <w:spacing w:val="-6"/>
        </w:rPr>
        <w:br/>
        <w:t>w mieniu, a w przypadku ich śmierci przyznawania odszkodowań członkom ich rodzin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</w:rPr>
      </w:pPr>
      <w:r w:rsidRPr="006606D7">
        <w:rPr>
          <w:rFonts w:ascii="Cambria" w:hAnsi="Cambria" w:cs="Arial"/>
          <w:spacing w:val="-4"/>
        </w:rPr>
        <w:t>Ubezpieczyciel akceptuje sposób ustalania stopnia uszczerbku na zdrowiu oraz wysokości świadczeń wskazany powyżej.</w:t>
      </w:r>
    </w:p>
    <w:p w:rsidR="00590F3A" w:rsidRPr="006606D7" w:rsidRDefault="00590F3A" w:rsidP="00590F3A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b/>
          <w:bCs/>
          <w:spacing w:val="-4"/>
        </w:rPr>
        <w:t>Pozostałe warunki ubezpieczenia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Zakres terytorialny ubezpieczenia: teren całego świata</w:t>
      </w:r>
    </w:p>
    <w:p w:rsidR="00590F3A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Forma ubezpieczenia:</w:t>
      </w:r>
      <w:r>
        <w:rPr>
          <w:rFonts w:ascii="Cambria" w:hAnsi="Cambria" w:cs="Arial"/>
          <w:spacing w:val="-4"/>
          <w:lang w:eastAsia="pl-PL"/>
        </w:rPr>
        <w:t xml:space="preserve">  </w:t>
      </w:r>
      <w:r w:rsidRPr="006606D7">
        <w:rPr>
          <w:rFonts w:ascii="Cambria" w:hAnsi="Cambria" w:cs="Arial"/>
          <w:spacing w:val="-4"/>
          <w:lang w:eastAsia="pl-PL"/>
        </w:rPr>
        <w:t xml:space="preserve"> imienna</w:t>
      </w:r>
    </w:p>
    <w:p w:rsidR="00590F3A" w:rsidRPr="00FA27F3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FB41DB">
        <w:rPr>
          <w:rFonts w:ascii="Cambria" w:hAnsi="Cambria" w:cs="Arial"/>
          <w:b/>
          <w:bCs/>
          <w:spacing w:val="-4"/>
          <w:lang w:eastAsia="pl-PL"/>
        </w:rPr>
        <w:t>Liczba osób objętych ubezpieczeniem</w:t>
      </w:r>
      <w:r w:rsidRPr="00FA27F3">
        <w:rPr>
          <w:rFonts w:ascii="Cambria" w:hAnsi="Cambria" w:cs="Arial"/>
          <w:bCs/>
          <w:spacing w:val="-4"/>
          <w:lang w:eastAsia="pl-PL"/>
        </w:rPr>
        <w:t xml:space="preserve">: </w:t>
      </w:r>
      <w:r w:rsidRPr="00FA27F3">
        <w:rPr>
          <w:rFonts w:ascii="Cambria" w:hAnsi="Cambria" w:cs="Arial"/>
          <w:b/>
          <w:bCs/>
          <w:spacing w:val="-4"/>
          <w:lang w:eastAsia="pl-PL"/>
        </w:rPr>
        <w:t>82 osoby</w:t>
      </w:r>
      <w:r w:rsidRPr="00FA27F3">
        <w:rPr>
          <w:rFonts w:ascii="Cambria" w:hAnsi="Cambria" w:cs="Arial"/>
          <w:bCs/>
          <w:spacing w:val="-4"/>
          <w:lang w:eastAsia="pl-PL"/>
        </w:rPr>
        <w:t xml:space="preserve"> </w:t>
      </w:r>
      <w:r w:rsidRPr="00FA27F3">
        <w:rPr>
          <w:rFonts w:ascii="Cambria" w:hAnsi="Cambria"/>
          <w:bCs/>
          <w:lang w:eastAsia="pl-PL"/>
        </w:rPr>
        <w:t>(w</w:t>
      </w:r>
      <w:r w:rsidRPr="00FA27F3">
        <w:rPr>
          <w:rFonts w:ascii="Cambria" w:hAnsi="Cambria"/>
          <w:lang w:eastAsia="pl-PL"/>
        </w:rPr>
        <w:t>ykaz imienny strażaków OSP będzie stanowił załącznik do umowy ubezpieczenia oraz zostanie przesłany  do Wykonawcy)</w:t>
      </w:r>
    </w:p>
    <w:p w:rsidR="00590F3A" w:rsidRPr="009256DE" w:rsidRDefault="00590F3A" w:rsidP="00590F3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mbria" w:hAnsi="Cambria" w:cs="Arial"/>
          <w:bCs/>
          <w:color w:val="FF0000"/>
          <w:spacing w:val="-4"/>
          <w:lang w:eastAsia="pl-PL"/>
        </w:rPr>
      </w:pPr>
    </w:p>
    <w:p w:rsidR="00590F3A" w:rsidRPr="006606D7" w:rsidRDefault="00590F3A" w:rsidP="00590F3A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b/>
          <w:bCs/>
          <w:spacing w:val="-4"/>
          <w:lang w:eastAsia="pl-PL"/>
        </w:rPr>
        <w:t>Warunki szczególne obligatoryjne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Przyjęcie podanej klauzuli daty stempla bankowego lub pocztowego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Przyjęcie podanej klauzuli czasu ochrony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Przyjęcie podanej klauzuli nieściągania rat niewymagalnych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spacing w:val="-4"/>
          <w:lang w:eastAsia="ar-SA"/>
        </w:rPr>
        <w:t>Franszyza redukcyjna, integralna, udział własny – brak</w:t>
      </w:r>
    </w:p>
    <w:p w:rsidR="00590F3A" w:rsidRPr="006606D7" w:rsidRDefault="00590F3A" w:rsidP="00590F3A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before="120" w:after="0" w:line="240" w:lineRule="auto"/>
        <w:ind w:left="709" w:hanging="709"/>
        <w:jc w:val="both"/>
        <w:outlineLvl w:val="2"/>
        <w:rPr>
          <w:rFonts w:ascii="Cambria" w:hAnsi="Cambria" w:cs="Arial"/>
          <w:b/>
          <w:spacing w:val="-4"/>
          <w:lang w:eastAsia="ar-SA"/>
        </w:rPr>
      </w:pPr>
      <w:r w:rsidRPr="006606D7">
        <w:rPr>
          <w:rFonts w:ascii="Cambria" w:hAnsi="Cambria" w:cs="Arial"/>
          <w:b/>
          <w:bCs/>
          <w:spacing w:val="-4"/>
          <w:lang w:eastAsia="ar-SA"/>
        </w:rPr>
        <w:t>Klauzule dodatkowe i inne postanowienia szczególne fakultatywne</w:t>
      </w:r>
    </w:p>
    <w:p w:rsidR="00590F3A" w:rsidRPr="006606D7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spacing w:val="-4"/>
          <w:lang w:eastAsia="ar-SA"/>
        </w:rPr>
        <w:t>Objęcie</w:t>
      </w:r>
      <w:r>
        <w:rPr>
          <w:rFonts w:ascii="Cambria" w:hAnsi="Cambria" w:cs="Arial"/>
          <w:spacing w:val="-4"/>
          <w:lang w:eastAsia="ar-SA"/>
        </w:rPr>
        <w:t xml:space="preserve"> </w:t>
      </w:r>
      <w:proofErr w:type="spellStart"/>
      <w:r>
        <w:rPr>
          <w:rFonts w:ascii="Cambria" w:hAnsi="Cambria" w:cs="Arial"/>
          <w:spacing w:val="-4"/>
          <w:lang w:eastAsia="ar-SA"/>
        </w:rPr>
        <w:t>bezskładkowym</w:t>
      </w:r>
      <w:proofErr w:type="spellEnd"/>
      <w:r>
        <w:rPr>
          <w:rFonts w:ascii="Cambria" w:hAnsi="Cambria" w:cs="Arial"/>
          <w:spacing w:val="-4"/>
          <w:lang w:eastAsia="ar-SA"/>
        </w:rPr>
        <w:t xml:space="preserve"> ubezpieczeniem 5</w:t>
      </w:r>
      <w:r w:rsidRPr="006606D7">
        <w:rPr>
          <w:rFonts w:ascii="Cambria" w:hAnsi="Cambria" w:cs="Arial"/>
          <w:spacing w:val="-4"/>
          <w:lang w:eastAsia="ar-SA"/>
        </w:rPr>
        <w:t xml:space="preserve"> nowych członków Ochotniczej Straży Pożarnej w każdym rocznym okresie ubezpieczenia</w:t>
      </w:r>
    </w:p>
    <w:p w:rsidR="00590F3A" w:rsidRDefault="00590F3A" w:rsidP="00590F3A">
      <w:pPr>
        <w:widowControl w:val="0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spacing w:val="-4"/>
          <w:lang w:eastAsia="ar-SA"/>
        </w:rPr>
        <w:t>Przyjęcie podanej klauzuli funduszu prewencyjnego</w:t>
      </w:r>
    </w:p>
    <w:p w:rsidR="00590F3A" w:rsidRDefault="00590F3A" w:rsidP="00590F3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mbria" w:hAnsi="Cambria" w:cs="Arial"/>
          <w:spacing w:val="-4"/>
          <w:lang w:eastAsia="ar-SA"/>
        </w:rPr>
      </w:pPr>
    </w:p>
    <w:p w:rsidR="00590F3A" w:rsidRPr="006606D7" w:rsidRDefault="00590F3A" w:rsidP="00590F3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mbria" w:hAnsi="Cambria" w:cs="Arial"/>
          <w:spacing w:val="-4"/>
          <w:lang w:eastAsia="ar-SA"/>
        </w:rPr>
      </w:pPr>
    </w:p>
    <w:p w:rsidR="00590F3A" w:rsidRPr="006606D7" w:rsidRDefault="00590F3A" w:rsidP="00590F3A">
      <w:pPr>
        <w:widowControl w:val="0"/>
        <w:numPr>
          <w:ilvl w:val="1"/>
          <w:numId w:val="2"/>
        </w:numPr>
        <w:tabs>
          <w:tab w:val="left" w:pos="709"/>
        </w:tabs>
        <w:suppressAutoHyphens/>
        <w:spacing w:before="18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b/>
          <w:bCs/>
          <w:spacing w:val="-4"/>
          <w:lang w:eastAsia="pl-PL"/>
        </w:rPr>
        <w:t xml:space="preserve">Ubezpieczenie bezimienne następstw nieszczęśliwych wypadków członków Ochotniczych Straży Pożarnych i Młodzieżowych Drużyn Pożarniczych </w:t>
      </w:r>
      <w:r>
        <w:rPr>
          <w:rFonts w:ascii="Cambria" w:hAnsi="Cambria" w:cs="Arial"/>
          <w:b/>
          <w:bCs/>
          <w:spacing w:val="-4"/>
          <w:lang w:eastAsia="pl-PL"/>
        </w:rPr>
        <w:t xml:space="preserve">w nawiązaniu do art. 32 ustawy </w:t>
      </w:r>
      <w:r w:rsidRPr="006606D7">
        <w:rPr>
          <w:rFonts w:ascii="Cambria" w:hAnsi="Cambria" w:cs="Arial"/>
          <w:b/>
          <w:bCs/>
          <w:spacing w:val="-4"/>
          <w:lang w:eastAsia="pl-PL"/>
        </w:rPr>
        <w:t>z dnia 24 sierpnia 1991 r. o ochronie przeciwpożarowej</w:t>
      </w:r>
    </w:p>
    <w:p w:rsidR="00590F3A" w:rsidRPr="006606D7" w:rsidRDefault="00590F3A" w:rsidP="00590F3A">
      <w:pPr>
        <w:widowControl w:val="0"/>
        <w:numPr>
          <w:ilvl w:val="3"/>
          <w:numId w:val="2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b/>
          <w:bCs/>
          <w:spacing w:val="-4"/>
          <w:lang w:eastAsia="pl-PL"/>
        </w:rPr>
        <w:t>Przedmiot ubezpieczenia</w:t>
      </w:r>
    </w:p>
    <w:p w:rsidR="00590F3A" w:rsidRPr="006606D7" w:rsidRDefault="00590F3A" w:rsidP="00590F3A">
      <w:pPr>
        <w:widowControl w:val="0"/>
        <w:spacing w:after="0" w:line="240" w:lineRule="auto"/>
        <w:ind w:left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 xml:space="preserve">Przedmiotem ubezpieczenia jest bezimienne ubezpieczenie następstw nieszczęśliwych wypadków członków Ochotniczych Straży Pożarnych i Młodzieżowych Drużyn Pożarniczych Gminy </w:t>
      </w:r>
      <w:r>
        <w:rPr>
          <w:rFonts w:ascii="Cambria" w:hAnsi="Cambria" w:cs="Arial"/>
          <w:spacing w:val="-4"/>
          <w:lang w:eastAsia="pl-PL"/>
        </w:rPr>
        <w:t>Czarna Białostocka</w:t>
      </w:r>
      <w:r w:rsidRPr="006606D7">
        <w:rPr>
          <w:rFonts w:ascii="Cambria" w:hAnsi="Cambria" w:cs="Arial"/>
          <w:spacing w:val="-4"/>
          <w:lang w:eastAsia="pl-PL"/>
        </w:rPr>
        <w:t xml:space="preserve">, obejmujące śmierć ubezpieczonego bądź stały lub długotrwały uszczerbek na zdrowiu ubezpieczonego. Ubezpieczenie zgodnie z postanowieniem art. 32 ust. 3 </w:t>
      </w:r>
      <w:proofErr w:type="spellStart"/>
      <w:r w:rsidRPr="006606D7">
        <w:rPr>
          <w:rFonts w:ascii="Cambria" w:hAnsi="Cambria" w:cs="Arial"/>
          <w:spacing w:val="-4"/>
          <w:lang w:eastAsia="pl-PL"/>
        </w:rPr>
        <w:t>pkt</w:t>
      </w:r>
      <w:proofErr w:type="spellEnd"/>
      <w:r w:rsidRPr="006606D7">
        <w:rPr>
          <w:rFonts w:ascii="Cambria" w:hAnsi="Cambria" w:cs="Arial"/>
          <w:spacing w:val="-4"/>
          <w:lang w:eastAsia="pl-PL"/>
        </w:rPr>
        <w:t xml:space="preserve"> 2 ustawy o ochronie przeciw</w:t>
      </w:r>
      <w:r w:rsidRPr="006606D7">
        <w:rPr>
          <w:rFonts w:ascii="Cambria" w:hAnsi="Cambria" w:cs="Arial"/>
          <w:spacing w:val="-4"/>
          <w:lang w:eastAsia="pl-PL"/>
        </w:rPr>
        <w:softHyphen/>
        <w:t>pożarowej.</w:t>
      </w:r>
    </w:p>
    <w:p w:rsidR="00590F3A" w:rsidRPr="009B7D19" w:rsidRDefault="00590F3A" w:rsidP="00590F3A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b/>
          <w:spacing w:val="-4"/>
          <w:lang w:eastAsia="pl-PL"/>
        </w:rPr>
        <w:t>Zakres ubezpieczenia:</w:t>
      </w:r>
      <w:r w:rsidRPr="006606D7">
        <w:rPr>
          <w:rFonts w:ascii="Cambria" w:hAnsi="Cambria" w:cs="Arial"/>
          <w:spacing w:val="-4"/>
          <w:lang w:eastAsia="pl-PL"/>
        </w:rPr>
        <w:t xml:space="preserve"> nieszczęśliwy wypadek w czasie akcji (za akcję – oprócz działań ratowniczych – uważa się również zabezpieczenie imprez i zawodów sportowych, biegów ulicznych, uroczystości państwowych, samorządowych, publicznych i kościelnych), ćwiczeń, zawodów, udziału w pokazach ratownictwa technicznego oraz ratownictwa medycznego, udziału w szkoleniach, udziału w zlotach samochodów pożarniczych, udziału w zawodach pożarniczych i spotkaniach w jednostkach partnerskich  organizowanych na terenie Europy (itp.), realizacji zadań statutowych lub innych na pisemne lub ustne polecenie, pobytu na terenie remizy oraz w drodze do wymienionych miejsc i w drodze powrotnej z tych miejsc. </w:t>
      </w:r>
    </w:p>
    <w:p w:rsidR="00590F3A" w:rsidRPr="006606D7" w:rsidRDefault="00590F3A" w:rsidP="00590F3A">
      <w:pPr>
        <w:widowControl w:val="0"/>
        <w:tabs>
          <w:tab w:val="left" w:pos="709"/>
        </w:tabs>
        <w:suppressAutoHyphens/>
        <w:spacing w:before="60" w:after="0" w:line="240" w:lineRule="auto"/>
        <w:ind w:left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Zakres ubezpieczenia obejmuje także zawał serca, udar mózgu oraz obrażenia ciała w wyniku ataku epilepsji lub innego rodzaju utraty przytomności.</w:t>
      </w:r>
    </w:p>
    <w:p w:rsidR="00590F3A" w:rsidRPr="00A25603" w:rsidRDefault="00590F3A" w:rsidP="00590F3A">
      <w:pPr>
        <w:spacing w:after="0" w:line="240" w:lineRule="auto"/>
        <w:ind w:left="709"/>
        <w:jc w:val="both"/>
        <w:rPr>
          <w:rFonts w:ascii="Cambria" w:hAnsi="Cambria"/>
        </w:rPr>
      </w:pPr>
      <w:r w:rsidRPr="00A25603">
        <w:rPr>
          <w:rFonts w:ascii="Cambria" w:hAnsi="Cambria"/>
        </w:rPr>
        <w:t>Z zakresu ubezpieczenia nie mogą być wyłączone szkody:</w:t>
      </w:r>
    </w:p>
    <w:p w:rsidR="00590F3A" w:rsidRPr="00A25603" w:rsidRDefault="00590F3A" w:rsidP="00590F3A">
      <w:pPr>
        <w:pStyle w:val="Akapitzlist"/>
        <w:numPr>
          <w:ilvl w:val="0"/>
          <w:numId w:val="10"/>
        </w:numPr>
        <w:spacing w:after="0" w:line="240" w:lineRule="auto"/>
        <w:ind w:left="993" w:hanging="284"/>
        <w:contextualSpacing w:val="0"/>
        <w:jc w:val="both"/>
        <w:rPr>
          <w:rFonts w:ascii="Cambria" w:eastAsia="Times New Roman" w:hAnsi="Cambria"/>
        </w:rPr>
      </w:pPr>
      <w:r w:rsidRPr="00A25603">
        <w:rPr>
          <w:rFonts w:ascii="Cambria" w:eastAsia="Times New Roman" w:hAnsi="Cambria"/>
        </w:rPr>
        <w:t>powstałe w następstwie zatrucia substancjami stałymi, gazowymi albo płynami, które wniknęły do organizmu drogą oddechową, pokarmową albo przez skórę (w tym tlenek węgla)</w:t>
      </w:r>
    </w:p>
    <w:p w:rsidR="00590F3A" w:rsidRPr="006606D7" w:rsidRDefault="00590F3A" w:rsidP="00590F3A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before="60" w:after="0" w:line="240" w:lineRule="auto"/>
        <w:ind w:left="709" w:hanging="709"/>
        <w:jc w:val="both"/>
        <w:rPr>
          <w:rFonts w:ascii="Cambria" w:hAnsi="Cambria" w:cs="Arial"/>
          <w:b/>
          <w:bCs/>
          <w:spacing w:val="-4"/>
          <w:lang w:eastAsia="pl-PL"/>
        </w:rPr>
      </w:pPr>
      <w:r w:rsidRPr="006606D7">
        <w:rPr>
          <w:rFonts w:ascii="Cambria" w:hAnsi="Cambria" w:cs="Arial"/>
          <w:b/>
          <w:spacing w:val="-4"/>
          <w:lang w:eastAsia="pl-PL"/>
        </w:rPr>
        <w:t>Wysokość świadczeń</w:t>
      </w:r>
    </w:p>
    <w:p w:rsidR="00590F3A" w:rsidRPr="006606D7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bookmarkStart w:id="1" w:name="_Hlk513289031"/>
      <w:r w:rsidRPr="006606D7">
        <w:rPr>
          <w:rFonts w:ascii="Cambria" w:hAnsi="Cambria" w:cs="Arial"/>
          <w:spacing w:val="-4"/>
          <w:lang w:eastAsia="pl-PL"/>
        </w:rPr>
        <w:t xml:space="preserve">śmierć ubezpieczonego - prawo do świadczenia przysługuje w wysokości 100% sumy ubezpieczenia, jeżeli śmierć ubezpieczonego nastąpiła w ciągu 24 miesięcy od zdarzenia stanowiącego przedmiot ubezpieczenia oraz jeżeli z medycznego punktu widzenia </w:t>
      </w:r>
      <w:r w:rsidRPr="006606D7">
        <w:rPr>
          <w:rFonts w:ascii="Cambria" w:hAnsi="Cambria" w:cs="Arial"/>
          <w:spacing w:val="-4"/>
          <w:lang w:eastAsia="pl-PL"/>
        </w:rPr>
        <w:lastRenderedPageBreak/>
        <w:t>istnieje związek przyczynowo – skutkowy pomiędzy zdarzeniem stanowiącym przedmiot ubezpieczenia, a śmiercią ubezpieczonego – 100% sumy ubezpieczenia</w:t>
      </w:r>
    </w:p>
    <w:p w:rsidR="00590F3A" w:rsidRPr="006606D7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6"/>
          <w:lang w:eastAsia="pl-PL"/>
        </w:rPr>
      </w:pPr>
      <w:r w:rsidRPr="006606D7">
        <w:rPr>
          <w:rFonts w:ascii="Cambria" w:hAnsi="Cambria" w:cs="Arial"/>
          <w:spacing w:val="-6"/>
          <w:lang w:eastAsia="pl-PL"/>
        </w:rPr>
        <w:t xml:space="preserve">śmierć ubezpieczonego w wyniku zawału serca lub udaru mózgu – 100% sumy ubezpieczenia </w:t>
      </w:r>
    </w:p>
    <w:p w:rsidR="00590F3A" w:rsidRPr="006606D7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 xml:space="preserve">trwały uszczerbek na zdrowiu (za każdy 1% uszczerbku) - prawo do świadczenia przysługuje za każdy procent stwierdzonego uszczerbku na zdrowiu, pod warunkiem, że uszczerbek nastąpił nie później niż 24 miesiące od daty zdarzenia stanowiącego przedmiot ubezpieczenia oraz jeżeli z medycznego punktu widzenia istnieje związek przyczynowo – skutkowy pomiędzy zdarzeniem stanowiącym przedmiot ubezpieczenia, a trwałym uszczerbkiem na zdrowiu ubezpieczonego – procent sumy ubezpieczenia odpowiadający procentowi trwałego uszczerbku na zdrowiu (1% sumy ubezpieczenia za każdy 1% trwałego uszczerbku na zdrowiu ubezpieczonego) </w:t>
      </w:r>
    </w:p>
    <w:p w:rsidR="00590F3A" w:rsidRPr="009F382A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 xml:space="preserve">całkowity, trwały </w:t>
      </w:r>
      <w:r w:rsidRPr="009F382A">
        <w:rPr>
          <w:rFonts w:ascii="Cambria" w:hAnsi="Cambria" w:cs="Arial"/>
          <w:spacing w:val="-4"/>
          <w:lang w:eastAsia="pl-PL"/>
        </w:rPr>
        <w:t>uszczerbek na zdrowiu – 100% sumy ubezpieczenia</w:t>
      </w:r>
    </w:p>
    <w:p w:rsidR="00590F3A" w:rsidRPr="009F382A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9F382A">
        <w:rPr>
          <w:rFonts w:ascii="Cambria" w:hAnsi="Cambria" w:cs="Arial"/>
          <w:spacing w:val="-4"/>
          <w:lang w:eastAsia="pl-PL"/>
        </w:rPr>
        <w:t>oparzenia i odmrożenia – do 50% sumy ubezpieczenia</w:t>
      </w:r>
    </w:p>
    <w:p w:rsidR="00590F3A" w:rsidRPr="006606D7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9F382A">
        <w:rPr>
          <w:rFonts w:ascii="Cambria" w:hAnsi="Cambria" w:cs="Arial"/>
          <w:spacing w:val="-4"/>
          <w:lang w:eastAsia="pl-PL"/>
        </w:rPr>
        <w:t xml:space="preserve">zwrot kosztów nabycia wyrobów medycznych będących przedmiotami ortopedycznymi </w:t>
      </w:r>
      <w:r w:rsidRPr="009F382A">
        <w:rPr>
          <w:rFonts w:ascii="Cambria" w:hAnsi="Cambria" w:cs="Arial"/>
          <w:spacing w:val="-4"/>
          <w:lang w:eastAsia="pl-PL"/>
        </w:rPr>
        <w:br/>
        <w:t xml:space="preserve">i środków pomocniczych - koszty nabycia </w:t>
      </w:r>
      <w:r w:rsidRPr="006606D7">
        <w:rPr>
          <w:rFonts w:ascii="Cambria" w:hAnsi="Cambria" w:cs="Arial"/>
          <w:spacing w:val="-4"/>
          <w:lang w:eastAsia="pl-PL"/>
        </w:rPr>
        <w:t>wyrobów medycznych będących przedmiotami ortopedycznymi i środków pomocni</w:t>
      </w:r>
      <w:r>
        <w:rPr>
          <w:rFonts w:ascii="Cambria" w:hAnsi="Cambria" w:cs="Arial"/>
          <w:spacing w:val="-4"/>
          <w:lang w:eastAsia="pl-PL"/>
        </w:rPr>
        <w:t>czych zwracane są do wysokości 2</w:t>
      </w:r>
      <w:r w:rsidRPr="006606D7">
        <w:rPr>
          <w:rFonts w:ascii="Cambria" w:hAnsi="Cambria" w:cs="Arial"/>
          <w:spacing w:val="-4"/>
          <w:lang w:eastAsia="pl-PL"/>
        </w:rPr>
        <w:t>0% sumy ubezpieczenia określonej w umowie pod warunkiem, że powstały one w następstwie nieszczęśliwego wypadku; zwrot kosztów następuje na podstawie rachunków i dowodów ich zapłaty do wysokości rz</w:t>
      </w:r>
      <w:r>
        <w:rPr>
          <w:rFonts w:ascii="Cambria" w:hAnsi="Cambria" w:cs="Arial"/>
          <w:spacing w:val="-4"/>
          <w:lang w:eastAsia="pl-PL"/>
        </w:rPr>
        <w:t>eczywistych kosztów – limit do 2</w:t>
      </w:r>
      <w:r w:rsidRPr="006606D7">
        <w:rPr>
          <w:rFonts w:ascii="Cambria" w:hAnsi="Cambria" w:cs="Arial"/>
          <w:spacing w:val="-4"/>
          <w:lang w:eastAsia="pl-PL"/>
        </w:rPr>
        <w:t xml:space="preserve">0% sumy ubezpieczenia </w:t>
      </w:r>
    </w:p>
    <w:p w:rsidR="00590F3A" w:rsidRPr="006606D7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 xml:space="preserve">zwrot kosztów przeszkolenia zawodowego osoby niepełnosprawnej - ubezpieczyciel refunduje koszty poniesione na leczenie skutków nieszczęśliwego wypadku, które nie zostały pokryte </w:t>
      </w:r>
      <w:r w:rsidRPr="006606D7">
        <w:rPr>
          <w:rFonts w:ascii="Cambria" w:hAnsi="Cambria" w:cs="Arial"/>
          <w:spacing w:val="-4"/>
          <w:lang w:eastAsia="pl-PL"/>
        </w:rPr>
        <w:br/>
        <w:t>z ubezpieczenia zdrowotnego, innego ubezpieczenia lub z innego tytułu; refundacji podlegają udokumentowane oryginalnymi rachunkami i dowodami zapłaty koszty, które zostały poniesione w ciągu 24 miesięcy od daty nieszczęśliwego wypadku, do wysokości rzeczywistych kosztów, maksymalnie jednak do kwoty wynikającej z zawartej umowy ubezpieczen</w:t>
      </w:r>
      <w:r>
        <w:rPr>
          <w:rFonts w:ascii="Cambria" w:hAnsi="Cambria" w:cs="Arial"/>
          <w:spacing w:val="-4"/>
          <w:lang w:eastAsia="pl-PL"/>
        </w:rPr>
        <w:t xml:space="preserve">ia – limit </w:t>
      </w:r>
      <w:r>
        <w:rPr>
          <w:rFonts w:ascii="Cambria" w:hAnsi="Cambria" w:cs="Arial"/>
          <w:spacing w:val="-4"/>
          <w:lang w:eastAsia="pl-PL"/>
        </w:rPr>
        <w:br/>
        <w:t>do 20</w:t>
      </w:r>
      <w:r w:rsidRPr="006606D7">
        <w:rPr>
          <w:rFonts w:ascii="Cambria" w:hAnsi="Cambria" w:cs="Arial"/>
          <w:spacing w:val="-4"/>
          <w:lang w:eastAsia="pl-PL"/>
        </w:rPr>
        <w:t>% sumy ubezpieczenia</w:t>
      </w:r>
    </w:p>
    <w:p w:rsidR="00590F3A" w:rsidRPr="00A25603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 xml:space="preserve">zwrot kosztów leczenia - ubezpieczyciel refunduje koszty poniesione na leczenie skutków nieszczęśliwego wypadku, które nie zostały pokryte z ubezpieczenia zdrowotnego, innego ubezpieczenia lub z innego tytułu; refundacji podlegają udokumentowane oryginalnymi rachunkami i dowodami zapłaty koszty, które zostały poniesione w ciągu 12 miesięcy od daty nieszczęśliwego </w:t>
      </w:r>
      <w:r w:rsidRPr="00A25603">
        <w:rPr>
          <w:rFonts w:ascii="Cambria" w:hAnsi="Cambria" w:cs="Arial"/>
          <w:spacing w:val="-4"/>
          <w:lang w:eastAsia="pl-PL"/>
        </w:rPr>
        <w:t xml:space="preserve">wypadku, do wysokości rzeczywistych kosztów, maksymalnie jednak do kwoty wynikającej z zawartej umowy ubezpieczenia – limit do 50% sumy ubezpieczenia, w tym odbudowa stomatologiczna zębów z limitem 1 000,00 zł </w:t>
      </w:r>
      <w:bookmarkEnd w:id="1"/>
    </w:p>
    <w:p w:rsidR="00590F3A" w:rsidRPr="00A25603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A25603">
        <w:rPr>
          <w:rFonts w:ascii="Cambria" w:hAnsi="Cambria" w:cs="Arial"/>
          <w:spacing w:val="-4"/>
          <w:lang w:eastAsia="pl-PL"/>
        </w:rPr>
        <w:t>jednorazowe świadczenie z tytułu pobytu w szpitalu, jeśli nieszczęśliwy wypadek nie spowodował trwałego uszczerbku na zdrowiu, a pobyt w szpitalu trwał minimum 3 dni – 300,00 zł</w:t>
      </w:r>
    </w:p>
    <w:p w:rsidR="00590F3A" w:rsidRPr="00A25603" w:rsidRDefault="00590F3A" w:rsidP="00590F3A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Cambria" w:hAnsi="Cambria" w:cs="Arial"/>
          <w:spacing w:val="-4"/>
          <w:lang w:eastAsia="pl-PL"/>
        </w:rPr>
      </w:pPr>
      <w:r w:rsidRPr="00A25603">
        <w:rPr>
          <w:rFonts w:ascii="Cambria" w:hAnsi="Cambria" w:cs="Arial"/>
          <w:spacing w:val="-4"/>
          <w:lang w:eastAsia="pl-PL"/>
        </w:rPr>
        <w:t>świadczenie dodatkowe z tytułu pobytu ubezpieczonego w szpitalu, będącego następstwem nieszczęśliwego wypadku objętego za</w:t>
      </w:r>
      <w:r>
        <w:rPr>
          <w:rFonts w:ascii="Cambria" w:hAnsi="Cambria" w:cs="Arial"/>
          <w:spacing w:val="-4"/>
          <w:lang w:eastAsia="pl-PL"/>
        </w:rPr>
        <w:t>kresem i umową ubezpieczenia – 5</w:t>
      </w:r>
      <w:r w:rsidRPr="00A25603">
        <w:rPr>
          <w:rFonts w:ascii="Cambria" w:hAnsi="Cambria" w:cs="Arial"/>
          <w:spacing w:val="-4"/>
          <w:lang w:eastAsia="pl-PL"/>
        </w:rPr>
        <w:t>0,00 zł za każdy dzień pobytu licząc od 3 dnia pobytu, maksymalnie przez okres 90 dni w trakcie rocznego okresu ubezpieczenia</w:t>
      </w:r>
    </w:p>
    <w:p w:rsidR="00590F3A" w:rsidRPr="00A25603" w:rsidRDefault="00590F3A" w:rsidP="00590F3A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before="80" w:after="0" w:line="240" w:lineRule="auto"/>
        <w:ind w:hanging="720"/>
        <w:jc w:val="both"/>
        <w:rPr>
          <w:rFonts w:ascii="Cambria" w:hAnsi="Cambria" w:cs="Arial"/>
          <w:spacing w:val="-4"/>
          <w:lang w:eastAsia="pl-PL"/>
        </w:rPr>
      </w:pPr>
      <w:r w:rsidRPr="00A25603">
        <w:rPr>
          <w:rFonts w:ascii="Cambria" w:hAnsi="Cambria" w:cs="Arial"/>
          <w:b/>
          <w:bCs/>
          <w:spacing w:val="-4"/>
        </w:rPr>
        <w:t>Pozostałe warunki ubezpieczenia</w:t>
      </w:r>
    </w:p>
    <w:p w:rsidR="00590F3A" w:rsidRPr="00A25603" w:rsidRDefault="00590F3A" w:rsidP="00590F3A">
      <w:pPr>
        <w:widowControl w:val="0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A25603">
        <w:rPr>
          <w:rFonts w:ascii="Cambria" w:hAnsi="Cambria" w:cs="Arial"/>
          <w:spacing w:val="-4"/>
          <w:lang w:eastAsia="pl-PL"/>
        </w:rPr>
        <w:t>Zakres terytorialny ubezpieczenia: teren całego świata</w:t>
      </w:r>
    </w:p>
    <w:p w:rsidR="00590F3A" w:rsidRPr="00A25603" w:rsidRDefault="00590F3A" w:rsidP="00590F3A">
      <w:pPr>
        <w:widowControl w:val="0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A25603">
        <w:rPr>
          <w:rFonts w:ascii="Cambria" w:hAnsi="Cambria" w:cs="Arial"/>
          <w:spacing w:val="-4"/>
          <w:lang w:eastAsia="pl-PL"/>
        </w:rPr>
        <w:t xml:space="preserve">Suma ubezpieczenia: </w:t>
      </w:r>
      <w:r w:rsidRPr="00D17C6B">
        <w:rPr>
          <w:rFonts w:ascii="Cambria" w:hAnsi="Cambria" w:cs="Arial"/>
          <w:b/>
          <w:spacing w:val="-4"/>
          <w:lang w:eastAsia="pl-PL"/>
        </w:rPr>
        <w:t>10 000,00 zł/osobę</w:t>
      </w:r>
    </w:p>
    <w:p w:rsidR="00590F3A" w:rsidRPr="00A25603" w:rsidRDefault="00590F3A" w:rsidP="00590F3A">
      <w:pPr>
        <w:widowControl w:val="0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A25603">
        <w:rPr>
          <w:rFonts w:ascii="Cambria" w:hAnsi="Cambria" w:cs="Arial"/>
          <w:spacing w:val="-4"/>
          <w:lang w:eastAsia="pl-PL"/>
        </w:rPr>
        <w:t>Forma ubezpieczenia: grupowa, bezimienna</w:t>
      </w:r>
    </w:p>
    <w:p w:rsidR="00590F3A" w:rsidRPr="00263C83" w:rsidRDefault="00590F3A" w:rsidP="00590F3A">
      <w:pPr>
        <w:widowControl w:val="0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b/>
          <w:spacing w:val="-4"/>
          <w:lang w:eastAsia="pl-PL"/>
        </w:rPr>
      </w:pPr>
      <w:r w:rsidRPr="00AF4071">
        <w:rPr>
          <w:rFonts w:ascii="Cambria" w:hAnsi="Cambria" w:cs="Arial"/>
          <w:spacing w:val="-4"/>
          <w:lang w:eastAsia="pl-PL"/>
        </w:rPr>
        <w:t>Liczba jednostek objętych ubezpieczeniem</w:t>
      </w:r>
      <w:r w:rsidRPr="00AF4071">
        <w:rPr>
          <w:rFonts w:ascii="Cambria" w:hAnsi="Cambria" w:cs="Arial"/>
          <w:bCs/>
          <w:spacing w:val="-4"/>
          <w:lang w:eastAsia="pl-PL"/>
        </w:rPr>
        <w:t xml:space="preserve">:  </w:t>
      </w:r>
      <w:r w:rsidRPr="00263C83">
        <w:rPr>
          <w:rFonts w:ascii="Cambria" w:hAnsi="Cambria" w:cs="Arial"/>
          <w:b/>
          <w:bCs/>
          <w:spacing w:val="-4"/>
          <w:lang w:eastAsia="pl-PL"/>
        </w:rPr>
        <w:t xml:space="preserve">7  </w:t>
      </w:r>
      <w:r w:rsidRPr="00263C83">
        <w:rPr>
          <w:rFonts w:ascii="Cambria" w:hAnsi="Cambria" w:cs="Arial"/>
          <w:b/>
          <w:bCs/>
          <w:spacing w:val="-4"/>
          <w:lang w:eastAsia="pl-PL" w:bidi="pl-PL"/>
        </w:rPr>
        <w:t xml:space="preserve">jednostek OSP (łącznie 207 osób);  2 jednostki  </w:t>
      </w:r>
      <w:r>
        <w:rPr>
          <w:rFonts w:ascii="Cambria" w:hAnsi="Cambria" w:cs="Arial"/>
          <w:b/>
          <w:bCs/>
          <w:spacing w:val="-4"/>
          <w:lang w:eastAsia="pl-PL" w:bidi="pl-PL"/>
        </w:rPr>
        <w:t>-</w:t>
      </w:r>
      <w:r w:rsidRPr="00263C83">
        <w:rPr>
          <w:rFonts w:ascii="Cambria" w:hAnsi="Cambria" w:cs="Arial"/>
          <w:b/>
          <w:bCs/>
          <w:spacing w:val="-4"/>
          <w:lang w:eastAsia="pl-PL" w:bidi="pl-PL"/>
        </w:rPr>
        <w:t>drużyny MDP ( łącznie</w:t>
      </w:r>
      <w:r>
        <w:rPr>
          <w:rFonts w:ascii="Cambria" w:hAnsi="Cambria" w:cs="Arial"/>
          <w:b/>
          <w:bCs/>
          <w:spacing w:val="-4"/>
          <w:lang w:eastAsia="pl-PL" w:bidi="pl-PL"/>
        </w:rPr>
        <w:t xml:space="preserve">  </w:t>
      </w:r>
      <w:r w:rsidRPr="00263C83">
        <w:rPr>
          <w:rFonts w:ascii="Cambria" w:hAnsi="Cambria" w:cs="Arial"/>
          <w:b/>
          <w:bCs/>
          <w:spacing w:val="-4"/>
          <w:lang w:eastAsia="pl-PL" w:bidi="pl-PL"/>
        </w:rPr>
        <w:t>20 osób)</w:t>
      </w:r>
    </w:p>
    <w:p w:rsidR="00590F3A" w:rsidRPr="00AF4071" w:rsidRDefault="00590F3A" w:rsidP="00590F3A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Cambria" w:hAnsi="Cambria" w:cs="Arial"/>
          <w:spacing w:val="-4"/>
          <w:lang w:eastAsia="pl-PL"/>
        </w:rPr>
      </w:pPr>
    </w:p>
    <w:p w:rsidR="00590F3A" w:rsidRPr="006606D7" w:rsidRDefault="00590F3A" w:rsidP="00590F3A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before="80"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AF4071">
        <w:rPr>
          <w:rFonts w:ascii="Cambria" w:hAnsi="Cambria" w:cs="Arial"/>
          <w:b/>
          <w:bCs/>
          <w:spacing w:val="-4"/>
          <w:lang w:eastAsia="pl-PL"/>
        </w:rPr>
        <w:t>Warunki szczególne obligatoryjne</w:t>
      </w:r>
      <w:r>
        <w:rPr>
          <w:rFonts w:ascii="Cambria" w:hAnsi="Cambria" w:cs="Arial"/>
          <w:b/>
          <w:bCs/>
          <w:spacing w:val="-4"/>
          <w:lang w:eastAsia="pl-PL"/>
        </w:rPr>
        <w:t xml:space="preserve"> </w:t>
      </w:r>
    </w:p>
    <w:p w:rsidR="00590F3A" w:rsidRPr="006606D7" w:rsidRDefault="00590F3A" w:rsidP="00590F3A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Przyjęcie podanej klauzuli daty stempla bankowego lub pocztowego</w:t>
      </w:r>
    </w:p>
    <w:p w:rsidR="00590F3A" w:rsidRPr="006606D7" w:rsidRDefault="00590F3A" w:rsidP="00590F3A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Przyjęcie podanej klauzuli czasu ochrony</w:t>
      </w:r>
    </w:p>
    <w:p w:rsidR="00590F3A" w:rsidRPr="006606D7" w:rsidRDefault="00590F3A" w:rsidP="00590F3A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Przyjęcie podanej klauzuli nieściągania rat niewymagalnych</w:t>
      </w:r>
    </w:p>
    <w:p w:rsidR="00590F3A" w:rsidRDefault="00590F3A" w:rsidP="00590F3A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spacing w:val="-4"/>
          <w:lang w:eastAsia="pl-PL"/>
        </w:rPr>
        <w:t>Franszyza redukcyjna, integralna, udział własny – brak</w:t>
      </w:r>
    </w:p>
    <w:p w:rsidR="00590F3A" w:rsidRPr="006606D7" w:rsidRDefault="00590F3A" w:rsidP="00590F3A">
      <w:pPr>
        <w:widowControl w:val="0"/>
        <w:tabs>
          <w:tab w:val="left" w:pos="709"/>
        </w:tabs>
        <w:suppressAutoHyphens/>
        <w:spacing w:after="0" w:line="240" w:lineRule="auto"/>
        <w:ind w:left="-11"/>
        <w:contextualSpacing/>
        <w:jc w:val="both"/>
        <w:rPr>
          <w:rFonts w:ascii="Cambria" w:hAnsi="Cambria" w:cs="Arial"/>
          <w:spacing w:val="-4"/>
          <w:lang w:eastAsia="pl-PL"/>
        </w:rPr>
      </w:pPr>
    </w:p>
    <w:p w:rsidR="00590F3A" w:rsidRPr="006606D7" w:rsidRDefault="00590F3A" w:rsidP="00590F3A">
      <w:pPr>
        <w:widowControl w:val="0"/>
        <w:numPr>
          <w:ilvl w:val="0"/>
          <w:numId w:val="2"/>
        </w:numPr>
        <w:tabs>
          <w:tab w:val="left" w:pos="709"/>
        </w:tabs>
        <w:suppressAutoHyphens/>
        <w:spacing w:before="80" w:after="0" w:line="240" w:lineRule="auto"/>
        <w:ind w:left="709" w:hanging="709"/>
        <w:jc w:val="both"/>
        <w:rPr>
          <w:rFonts w:ascii="Cambria" w:hAnsi="Cambria" w:cs="Arial"/>
          <w:spacing w:val="-4"/>
          <w:lang w:eastAsia="pl-PL"/>
        </w:rPr>
      </w:pPr>
      <w:r w:rsidRPr="006606D7">
        <w:rPr>
          <w:rFonts w:ascii="Cambria" w:hAnsi="Cambria" w:cs="Arial"/>
          <w:b/>
          <w:bCs/>
          <w:spacing w:val="-4"/>
          <w:lang w:eastAsia="pl-PL"/>
        </w:rPr>
        <w:lastRenderedPageBreak/>
        <w:t>Klauzule dodatkowe i inne postanowienia szczególne fakultatywne</w:t>
      </w:r>
      <w:r>
        <w:rPr>
          <w:rFonts w:ascii="Cambria" w:hAnsi="Cambria" w:cs="Arial"/>
          <w:b/>
          <w:bCs/>
          <w:spacing w:val="-4"/>
          <w:lang w:eastAsia="pl-PL"/>
        </w:rPr>
        <w:t xml:space="preserve">  </w:t>
      </w:r>
    </w:p>
    <w:p w:rsidR="00590F3A" w:rsidRPr="006606D7" w:rsidRDefault="00590F3A" w:rsidP="00590F3A">
      <w:pPr>
        <w:widowControl w:val="0"/>
        <w:numPr>
          <w:ilvl w:val="1"/>
          <w:numId w:val="9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bCs/>
          <w:spacing w:val="-4"/>
          <w:lang w:eastAsia="ar-SA"/>
        </w:rPr>
        <w:t>Przy doznaniu przez ubezpieczonego trwałego uszczerbku na zdrowiu przekraczającego 25%, wypłata odszkodowania w procencie sumy ubezpieczenia odpowiadającym dwukrotności doznanego uszczerbku na zdrowiu – tzw. progresywne ustalanie odszkodowania</w:t>
      </w:r>
      <w:r w:rsidRPr="006606D7">
        <w:rPr>
          <w:rFonts w:ascii="Cambria" w:hAnsi="Cambria" w:cs="Arial"/>
          <w:spacing w:val="-4"/>
          <w:lang w:eastAsia="ar-SA"/>
        </w:rPr>
        <w:t xml:space="preserve"> </w:t>
      </w:r>
    </w:p>
    <w:p w:rsidR="00590F3A" w:rsidRPr="006606D7" w:rsidRDefault="00590F3A" w:rsidP="00590F3A">
      <w:pPr>
        <w:widowControl w:val="0"/>
        <w:numPr>
          <w:ilvl w:val="1"/>
          <w:numId w:val="9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bCs/>
          <w:spacing w:val="-4"/>
          <w:lang w:eastAsia="ar-SA"/>
        </w:rPr>
        <w:t xml:space="preserve">Zwiększenie świadczenia dodatkowego z tytułu pobytu ubezpieczonego w szpitalu, będącego następstwem nieszczęśliwego wypadku objętego zakresem i umową ubezpieczenia do kwoty 100,00 zł za każdy dzień pobytu, licząc od 3 dnia pobytu przez okres maksymalnie 90 dni </w:t>
      </w:r>
      <w:r w:rsidRPr="006606D7">
        <w:rPr>
          <w:rFonts w:ascii="Cambria" w:hAnsi="Cambria" w:cs="Arial"/>
          <w:bCs/>
          <w:spacing w:val="-4"/>
          <w:lang w:eastAsia="ar-SA"/>
        </w:rPr>
        <w:br/>
        <w:t>w trakcie rocznego okresu ubezpieczenia</w:t>
      </w:r>
    </w:p>
    <w:p w:rsidR="00590F3A" w:rsidRPr="006606D7" w:rsidRDefault="00590F3A" w:rsidP="00590F3A">
      <w:pPr>
        <w:widowControl w:val="0"/>
        <w:numPr>
          <w:ilvl w:val="1"/>
          <w:numId w:val="9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bCs/>
          <w:spacing w:val="-4"/>
          <w:lang w:eastAsia="ar-SA"/>
        </w:rPr>
        <w:t xml:space="preserve">Wypłata jednorazowego świadczenia w przypadku braku trwałego uszczerbku na zdrowiu </w:t>
      </w:r>
      <w:r w:rsidRPr="006606D7">
        <w:rPr>
          <w:rFonts w:ascii="Cambria" w:hAnsi="Cambria" w:cs="Arial"/>
          <w:bCs/>
          <w:spacing w:val="-4"/>
          <w:lang w:eastAsia="ar-SA"/>
        </w:rPr>
        <w:br/>
        <w:t>w wysokości 5% sumy ubezpieczenia</w:t>
      </w:r>
    </w:p>
    <w:p w:rsidR="00590F3A" w:rsidRPr="006606D7" w:rsidRDefault="00590F3A" w:rsidP="00590F3A">
      <w:pPr>
        <w:widowControl w:val="0"/>
        <w:numPr>
          <w:ilvl w:val="1"/>
          <w:numId w:val="9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Cambria" w:hAnsi="Cambria" w:cs="Arial"/>
          <w:spacing w:val="-4"/>
          <w:lang w:eastAsia="ar-SA"/>
        </w:rPr>
      </w:pPr>
      <w:r w:rsidRPr="006606D7">
        <w:rPr>
          <w:rFonts w:ascii="Cambria" w:hAnsi="Cambria" w:cs="Arial"/>
          <w:spacing w:val="-4"/>
          <w:lang w:eastAsia="ar-SA"/>
        </w:rPr>
        <w:t>Przyjęcie podanej klauzuli funduszu prewencyjnego</w:t>
      </w:r>
    </w:p>
    <w:p w:rsidR="00590F3A" w:rsidRDefault="00590F3A" w:rsidP="00590F3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mbria" w:hAnsi="Cambria" w:cs="Arial"/>
          <w:spacing w:val="-4"/>
          <w:highlight w:val="yellow"/>
          <w:lang w:eastAsia="ar-SA"/>
        </w:rPr>
      </w:pPr>
    </w:p>
    <w:p w:rsidR="00590F3A" w:rsidRPr="00373637" w:rsidRDefault="00590F3A" w:rsidP="00590F3A">
      <w:pPr>
        <w:widowControl w:val="0"/>
        <w:tabs>
          <w:tab w:val="left" w:pos="709"/>
        </w:tabs>
        <w:suppressAutoHyphens/>
        <w:spacing w:before="180" w:after="0" w:line="240" w:lineRule="auto"/>
        <w:ind w:left="709"/>
        <w:jc w:val="both"/>
        <w:rPr>
          <w:rFonts w:ascii="Cambria" w:hAnsi="Cambria" w:cs="Arial"/>
          <w:b/>
          <w:bCs/>
          <w:spacing w:val="-4"/>
          <w:highlight w:val="yellow"/>
          <w:lang w:eastAsia="pl-PL"/>
        </w:rPr>
      </w:pPr>
    </w:p>
    <w:tbl>
      <w:tblPr>
        <w:tblStyle w:val="Tabela-Siatka"/>
        <w:tblW w:w="9705" w:type="dxa"/>
        <w:tblInd w:w="-318" w:type="dxa"/>
        <w:tblLayout w:type="fixed"/>
        <w:tblLook w:val="04A0"/>
      </w:tblPr>
      <w:tblGrid>
        <w:gridCol w:w="568"/>
        <w:gridCol w:w="2297"/>
        <w:gridCol w:w="2446"/>
        <w:gridCol w:w="1559"/>
        <w:gridCol w:w="1560"/>
        <w:gridCol w:w="1275"/>
      </w:tblGrid>
      <w:tr w:rsidR="00590F3A" w:rsidTr="009A0305">
        <w:trPr>
          <w:trHeight w:val="514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  <w:b/>
              </w:rPr>
            </w:pPr>
            <w:r w:rsidRPr="00F04C8B">
              <w:rPr>
                <w:rFonts w:ascii="Cambria" w:hAnsi="Cambria"/>
                <w:b/>
              </w:rPr>
              <w:t>Lp.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  <w:b/>
              </w:rPr>
            </w:pPr>
            <w:r w:rsidRPr="00F04C8B">
              <w:rPr>
                <w:rFonts w:ascii="Cambria" w:hAnsi="Cambria"/>
                <w:b/>
              </w:rPr>
              <w:t>Nazwa</w:t>
            </w:r>
            <w:r>
              <w:rPr>
                <w:rFonts w:ascii="Cambria" w:hAnsi="Cambria"/>
                <w:b/>
              </w:rPr>
              <w:t xml:space="preserve"> jednostki OSP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  <w:b/>
              </w:rPr>
            </w:pPr>
            <w:r w:rsidRPr="00F04C8B">
              <w:rPr>
                <w:rFonts w:ascii="Cambria" w:hAnsi="Cambria"/>
                <w:b/>
              </w:rPr>
              <w:t>Adres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  <w:b/>
              </w:rPr>
            </w:pPr>
            <w:r w:rsidRPr="00F04C8B">
              <w:rPr>
                <w:rFonts w:ascii="Cambria" w:hAnsi="Cambria"/>
                <w:b/>
              </w:rPr>
              <w:t>NIP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  <w:b/>
              </w:rPr>
            </w:pPr>
            <w:r w:rsidRPr="00F04C8B">
              <w:rPr>
                <w:rFonts w:ascii="Cambria" w:hAnsi="Cambria"/>
                <w:b/>
              </w:rPr>
              <w:t>REGON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  <w:b/>
              </w:rPr>
            </w:pPr>
            <w:r w:rsidRPr="00F04C8B">
              <w:rPr>
                <w:rFonts w:ascii="Cambria" w:hAnsi="Cambria"/>
                <w:b/>
              </w:rPr>
              <w:t>Liczba strażaków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1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OSP Czarna Białostocka 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ul. Tartaczna 5, 16-020 Czarna Białostocka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966-17-89-319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052016897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62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2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OSP Czarna Wieś Kościelna 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ul. Wesoła 22 Czarna Wieś Kościelna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966-19-33-644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052254622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56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3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OSP Oleszkowo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Oleszkowo 6, 16-020 Czarna Białostocka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966-20-54-123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200408232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32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4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OSP Zdroje 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Zdroje 27, 16-020 Czarna Białostocka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966-21-03-152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052016911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16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5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OSP Łapczyn 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Łapczyn 16/2, 16-020 Czarna Białostocka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 -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052017218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14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6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OSP Wólka Ratowiecka 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Wólka Ratowiecka 41, 16-020 Czarna Białostocka 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966-20-77-360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052018130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16</w:t>
            </w:r>
          </w:p>
        </w:tc>
      </w:tr>
      <w:tr w:rsidR="00590F3A" w:rsidRPr="00DE0D58" w:rsidTr="009A0305">
        <w:trPr>
          <w:cantSplit/>
          <w:trHeight w:hRule="exact" w:val="510"/>
        </w:trPr>
        <w:tc>
          <w:tcPr>
            <w:tcW w:w="568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7</w:t>
            </w:r>
          </w:p>
        </w:tc>
        <w:tc>
          <w:tcPr>
            <w:tcW w:w="2297" w:type="dxa"/>
            <w:vAlign w:val="center"/>
          </w:tcPr>
          <w:p w:rsidR="00590F3A" w:rsidRPr="00F04C8B" w:rsidRDefault="00590F3A" w:rsidP="009A0305">
            <w:pPr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OSP Brzozówka Koronna</w:t>
            </w:r>
          </w:p>
        </w:tc>
        <w:tc>
          <w:tcPr>
            <w:tcW w:w="2446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 xml:space="preserve">Brzozówka Ziemiańska 7, 16-020 Czarna Białostocka </w:t>
            </w:r>
          </w:p>
        </w:tc>
        <w:tc>
          <w:tcPr>
            <w:tcW w:w="1559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966-20-80-132</w:t>
            </w:r>
          </w:p>
        </w:tc>
        <w:tc>
          <w:tcPr>
            <w:tcW w:w="1560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200652618</w:t>
            </w:r>
          </w:p>
        </w:tc>
        <w:tc>
          <w:tcPr>
            <w:tcW w:w="1275" w:type="dxa"/>
            <w:vAlign w:val="center"/>
          </w:tcPr>
          <w:p w:rsidR="00590F3A" w:rsidRPr="00F04C8B" w:rsidRDefault="00590F3A" w:rsidP="009A0305">
            <w:pPr>
              <w:jc w:val="center"/>
              <w:rPr>
                <w:rFonts w:ascii="Cambria" w:hAnsi="Cambria"/>
              </w:rPr>
            </w:pPr>
            <w:r w:rsidRPr="00F04C8B">
              <w:rPr>
                <w:rFonts w:ascii="Cambria" w:hAnsi="Cambria"/>
              </w:rPr>
              <w:t>11</w:t>
            </w:r>
          </w:p>
        </w:tc>
      </w:tr>
    </w:tbl>
    <w:p w:rsidR="00590F3A" w:rsidRPr="00373637" w:rsidRDefault="00590F3A" w:rsidP="00590F3A">
      <w:pPr>
        <w:widowControl w:val="0"/>
        <w:suppressAutoHyphens/>
        <w:spacing w:after="120" w:line="240" w:lineRule="auto"/>
        <w:jc w:val="both"/>
        <w:outlineLvl w:val="0"/>
        <w:rPr>
          <w:rFonts w:ascii="Cambria" w:hAnsi="Cambria"/>
          <w:b/>
          <w:color w:val="FF0000"/>
          <w:highlight w:val="yellow"/>
        </w:rPr>
      </w:pPr>
    </w:p>
    <w:p w:rsidR="00F077AE" w:rsidRDefault="00F077AE"/>
    <w:sectPr w:rsidR="00F077AE" w:rsidSect="00590F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929"/>
    <w:multiLevelType w:val="hybridMultilevel"/>
    <w:tmpl w:val="DCB24580"/>
    <w:lvl w:ilvl="0" w:tplc="93D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2A1A"/>
    <w:multiLevelType w:val="hybridMultilevel"/>
    <w:tmpl w:val="D1A40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000988"/>
    <w:multiLevelType w:val="hybridMultilevel"/>
    <w:tmpl w:val="7C48534A"/>
    <w:lvl w:ilvl="0" w:tplc="BA840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E2A4A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b/>
        <w:bCs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2186D"/>
    <w:multiLevelType w:val="hybridMultilevel"/>
    <w:tmpl w:val="63AEA196"/>
    <w:lvl w:ilvl="0" w:tplc="9DC4DA78">
      <w:start w:val="1"/>
      <w:numFmt w:val="lowerLetter"/>
      <w:lvlText w:val="%1."/>
      <w:lvlJc w:val="left"/>
      <w:pPr>
        <w:ind w:left="1080" w:hanging="360"/>
      </w:pPr>
      <w:rPr>
        <w:rFonts w:ascii="Cambria" w:hAnsi="Cambria" w:cs="Cambri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900B6"/>
    <w:multiLevelType w:val="multilevel"/>
    <w:tmpl w:val="772C7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8B50855"/>
    <w:multiLevelType w:val="multilevel"/>
    <w:tmpl w:val="628866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mbria" w:hAnsi="Cambri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B9A1B36"/>
    <w:multiLevelType w:val="multilevel"/>
    <w:tmpl w:val="C206E9B0"/>
    <w:lvl w:ilvl="0">
      <w:start w:val="3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mbria" w:hAnsi="Cambria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F960040"/>
    <w:multiLevelType w:val="hybridMultilevel"/>
    <w:tmpl w:val="F41A34D6"/>
    <w:lvl w:ilvl="0" w:tplc="97FAFF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523EAB5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FE4DE62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b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54E2"/>
    <w:multiLevelType w:val="multilevel"/>
    <w:tmpl w:val="7C6A96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58D2134"/>
    <w:multiLevelType w:val="multilevel"/>
    <w:tmpl w:val="E2FEC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F3A"/>
    <w:rsid w:val="00590F3A"/>
    <w:rsid w:val="00F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3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F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90F3A"/>
    <w:pPr>
      <w:ind w:left="720"/>
      <w:contextualSpacing/>
    </w:pPr>
    <w:rPr>
      <w:rFonts w:eastAsia="Calibri"/>
    </w:rPr>
  </w:style>
  <w:style w:type="paragraph" w:customStyle="1" w:styleId="Akapitzlist11">
    <w:name w:val="Akapit z listą11"/>
    <w:basedOn w:val="Normalny"/>
    <w:rsid w:val="00590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1669</Words>
  <Characters>10018</Characters>
  <Application>Microsoft Office Word</Application>
  <DocSecurity>0</DocSecurity>
  <Lines>83</Lines>
  <Paragraphs>23</Paragraphs>
  <ScaleCrop>false</ScaleCrop>
  <Company>HP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2020-04-17T06:43:00Z</dcterms:created>
  <dcterms:modified xsi:type="dcterms:W3CDTF">2020-04-17T06:44:00Z</dcterms:modified>
</cp:coreProperties>
</file>